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30D93541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 w:rsidR="00097D34">
        <w:rPr>
          <w:b/>
          <w:bCs/>
          <w:noProof/>
          <w:sz w:val="24"/>
          <w:szCs w:val="24"/>
          <w:lang w:eastAsia="zh-TW"/>
        </w:rPr>
        <w:t>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715098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8A65A5">
        <w:rPr>
          <w:b/>
          <w:bCs/>
          <w:i/>
          <w:iCs/>
          <w:noProof/>
          <w:sz w:val="28"/>
          <w:szCs w:val="28"/>
          <w:lang w:eastAsia="zh-TW"/>
        </w:rPr>
        <w:t>3851</w:t>
      </w:r>
    </w:p>
    <w:p w14:paraId="43E6B1DB" w14:textId="17DCD3F6" w:rsidR="00FD069A" w:rsidRPr="00314C98" w:rsidRDefault="00097D34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6E1587">
        <w:rPr>
          <w:b/>
          <w:noProof/>
          <w:sz w:val="24"/>
          <w:lang w:eastAsia="zh-TW"/>
        </w:rPr>
        <w:t>Chongqing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China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B711A2">
        <w:rPr>
          <w:b/>
          <w:bCs/>
          <w:noProof/>
          <w:sz w:val="24"/>
          <w:szCs w:val="24"/>
          <w:lang w:val="sv-SE" w:eastAsia="zh-TW"/>
        </w:rPr>
        <w:t>14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 w:rsidR="00B711A2">
        <w:rPr>
          <w:b/>
          <w:bCs/>
          <w:noProof/>
          <w:sz w:val="24"/>
          <w:szCs w:val="24"/>
          <w:lang w:val="sv-SE" w:eastAsia="zh-TW"/>
        </w:rPr>
        <w:t>18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B711A2">
        <w:rPr>
          <w:b/>
          <w:bCs/>
          <w:noProof/>
          <w:sz w:val="24"/>
          <w:szCs w:val="24"/>
          <w:lang w:val="sv-SE" w:eastAsia="zh-TW"/>
        </w:rPr>
        <w:t>October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77777777" w:rsidR="00FD069A" w:rsidRPr="005C4C21" w:rsidRDefault="00990476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A67A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B9EB5BC" w:rsidR="00FD069A" w:rsidRPr="00822268" w:rsidRDefault="00DD4443" w:rsidP="00822268">
            <w:pPr>
              <w:pStyle w:val="CRCoverPage"/>
              <w:spacing w:after="0"/>
              <w:jc w:val="center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1346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922BB82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097D34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6EDB93DD" w:rsidR="00FD069A" w:rsidRPr="005C4C21" w:rsidRDefault="00381CF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373106B8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235AB5A7" w:rsidR="00FD069A" w:rsidRPr="005C4C21" w:rsidRDefault="00613F0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8831F9">
              <w:rPr>
                <w:noProof/>
                <w:kern w:val="0"/>
                <w:sz w:val="20"/>
                <w:szCs w:val="20"/>
                <w:lang w:eastAsia="zh-TW"/>
              </w:rPr>
              <w:t xml:space="preserve"> mobility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from NR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1D25F2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1D25F2">
              <w:rPr>
                <w:sz w:val="20"/>
                <w:szCs w:val="20"/>
              </w:rPr>
              <w:t>NR_newRAT</w:t>
            </w:r>
            <w:proofErr w:type="spellEnd"/>
            <w:r w:rsidRPr="001D25F2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7D8ED4E6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BB1E0B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BB1E0B">
              <w:rPr>
                <w:noProof/>
                <w:kern w:val="0"/>
                <w:sz w:val="20"/>
                <w:szCs w:val="20"/>
              </w:rPr>
              <w:t>0</w:t>
            </w:r>
            <w:r w:rsidR="00125978">
              <w:rPr>
                <w:noProof/>
                <w:kern w:val="0"/>
                <w:sz w:val="20"/>
                <w:szCs w:val="20"/>
              </w:rPr>
              <w:t>4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45E865A2" w:rsidR="00FD069A" w:rsidRPr="00580BE4" w:rsidRDefault="00B84E07" w:rsidP="001D25F2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In </w:t>
            </w:r>
            <w:r w:rsidR="005D276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mobility from NR to E-UTRA/5GC, the UE should not release the associated SDAP and PDCP for all estabablished DRBs</w:t>
            </w:r>
            <w:r w:rsidR="00D30B8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 The UE releases the associated SDAP and PDCP for all estabablished DRBs in mobility from NR to E-UTRA/EPC.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A03CA" w14:textId="4ED3BA6A" w:rsidR="001E5EBA" w:rsidRDefault="00D30B85" w:rsidP="001E5EB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releases the associated SDAP and PDCP for all estabablished DRBs in </w:t>
            </w:r>
            <w:bookmarkStart w:id="2" w:name="_GoBack"/>
            <w:bookmarkEnd w:id="2"/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mobility from NR to E-UTRA/EPC.</w:t>
            </w:r>
          </w:p>
          <w:p w14:paraId="4DBE7BAE" w14:textId="77777777" w:rsidR="00D30B85" w:rsidRPr="005D1779" w:rsidRDefault="00D30B85" w:rsidP="001E5EB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51E04D00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24F6D311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2C0BF364" w14:textId="2699D408" w:rsidR="001E5EBA" w:rsidRPr="005D1779" w:rsidRDefault="001E5EBA" w:rsidP="001E5EBA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lang w:eastAsia="zh-TW"/>
              </w:rPr>
              <w:t>NR SA</w:t>
            </w:r>
            <w:r w:rsidR="00233F99">
              <w:rPr>
                <w:noProof/>
                <w:sz w:val="20"/>
                <w:szCs w:val="20"/>
                <w:lang w:eastAsia="zh-TW"/>
              </w:rPr>
              <w:t>, NR-NR DC, NE-DC</w:t>
            </w:r>
          </w:p>
          <w:p w14:paraId="6185105A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48D14268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1EED7756" w14:textId="16A807B8" w:rsidR="001E5EBA" w:rsidRPr="005D1779" w:rsidRDefault="00077A0D" w:rsidP="001E5EBA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Mobility from </w:t>
            </w:r>
            <w:r w:rsidR="005820F1">
              <w:rPr>
                <w:noProof/>
                <w:sz w:val="20"/>
                <w:szCs w:val="20"/>
                <w:lang w:eastAsia="zh-TW"/>
              </w:rPr>
              <w:t>NR</w:t>
            </w:r>
            <w:r w:rsidR="001568CF">
              <w:rPr>
                <w:noProof/>
                <w:sz w:val="20"/>
                <w:szCs w:val="20"/>
                <w:lang w:eastAsia="zh-TW"/>
              </w:rPr>
              <w:t xml:space="preserve"> to E-UTRA</w:t>
            </w:r>
          </w:p>
          <w:p w14:paraId="1707D2C5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222D8FB5" w14:textId="77777777" w:rsidR="001E5EBA" w:rsidRPr="005D1779" w:rsidRDefault="001E5EBA" w:rsidP="001E5EBA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5D1779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48EED8D0" w14:textId="1E948C17" w:rsidR="001E5EBA" w:rsidRPr="005D1779" w:rsidRDefault="001E5EBA" w:rsidP="001E5EBA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5D1779">
              <w:rPr>
                <w:noProof/>
                <w:sz w:val="20"/>
                <w:szCs w:val="20"/>
              </w:rPr>
              <w:t xml:space="preserve">If the UE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network is not, there is no inter-operability issue</w:t>
            </w:r>
            <w:r w:rsidR="00D30B85">
              <w:rPr>
                <w:noProof/>
                <w:sz w:val="20"/>
                <w:szCs w:val="20"/>
              </w:rPr>
              <w:t xml:space="preserve"> given that the changes are only relevant to SDAP and PDCP handling at the UE</w:t>
            </w:r>
            <w:r w:rsidRPr="005D1779">
              <w:rPr>
                <w:noProof/>
                <w:sz w:val="20"/>
                <w:szCs w:val="20"/>
              </w:rPr>
              <w:t>.</w:t>
            </w:r>
          </w:p>
          <w:p w14:paraId="1BF454B7" w14:textId="2220A655" w:rsidR="00FD069A" w:rsidRPr="006E677D" w:rsidRDefault="001E5EBA" w:rsidP="005820F1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</w:rPr>
              <w:t xml:space="preserve">If network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UE is not, there is no inter-operability issue </w:t>
            </w:r>
            <w:r w:rsidR="00D30B85">
              <w:rPr>
                <w:noProof/>
                <w:sz w:val="20"/>
                <w:szCs w:val="20"/>
              </w:rPr>
              <w:t>given that the changes are only relevant to SDAP and PDCP handling at the UE</w:t>
            </w:r>
            <w:r w:rsidRPr="005D1779">
              <w:rPr>
                <w:noProof/>
                <w:sz w:val="20"/>
                <w:szCs w:val="20"/>
              </w:rPr>
              <w:t>.</w:t>
            </w: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73E9824C" w:rsidR="00FD069A" w:rsidRPr="001F6A32" w:rsidRDefault="00D30B85" w:rsidP="008C318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mobility from NR to E-UTRA/5GC, the UE releases the associated SDAP and PDCP for all estabablished DRBs</w:t>
            </w:r>
            <w:r w:rsidR="007C397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in E-UTRA/5GC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5494DB26" w:rsidR="00FD069A" w:rsidRPr="001F6A32" w:rsidRDefault="00EB7718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5.4.3.4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1DC68B05" w:rsidR="00FD069A" w:rsidRDefault="00FD069A" w:rsidP="001D25F2">
      <w:pPr>
        <w:pStyle w:val="Heading1"/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CBC4E" w14:textId="77777777" w:rsidR="00AD3CE3" w:rsidRPr="0096519C" w:rsidRDefault="00AD3CE3" w:rsidP="00AD3CE3">
      <w:pPr>
        <w:pStyle w:val="Heading4"/>
      </w:pPr>
      <w:bookmarkStart w:id="3" w:name="_Toc20425786"/>
      <w:r w:rsidRPr="0096519C">
        <w:lastRenderedPageBreak/>
        <w:t>5.4.3.4</w:t>
      </w:r>
      <w:r w:rsidRPr="0096519C">
        <w:tab/>
        <w:t>Successful completion of the mobility from NR</w:t>
      </w:r>
      <w:bookmarkEnd w:id="3"/>
    </w:p>
    <w:p w14:paraId="47C0D5BA" w14:textId="77777777" w:rsidR="00AD3CE3" w:rsidRPr="00AD3CE3" w:rsidRDefault="00AD3CE3" w:rsidP="00AD3CE3">
      <w:r w:rsidRPr="00AD3CE3">
        <w:t>Upon successfully completing the handover, at the source side the UE shall:</w:t>
      </w:r>
    </w:p>
    <w:p w14:paraId="4BD40ECC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1&gt;</w:t>
      </w:r>
      <w:r w:rsidRPr="00AD3CE3">
        <w:rPr>
          <w:rFonts w:ascii="Times New Roman" w:hAnsi="Times New Roman" w:cs="Times New Roman"/>
        </w:rPr>
        <w:tab/>
        <w:t>reset MAC;</w:t>
      </w:r>
    </w:p>
    <w:p w14:paraId="214873DD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1&gt;</w:t>
      </w:r>
      <w:r w:rsidRPr="00AD3CE3">
        <w:rPr>
          <w:rFonts w:ascii="Times New Roman" w:hAnsi="Times New Roman" w:cs="Times New Roman"/>
        </w:rPr>
        <w:tab/>
        <w:t>stop all timers that are running;</w:t>
      </w:r>
    </w:p>
    <w:p w14:paraId="7391B142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1&gt;</w:t>
      </w:r>
      <w:r w:rsidRPr="00AD3CE3">
        <w:rPr>
          <w:rFonts w:ascii="Times New Roman" w:hAnsi="Times New Roman" w:cs="Times New Roman"/>
        </w:rPr>
        <w:tab/>
        <w:t xml:space="preserve">release </w:t>
      </w:r>
      <w:r w:rsidRPr="00AD3CE3">
        <w:rPr>
          <w:rFonts w:ascii="Times New Roman" w:hAnsi="Times New Roman" w:cs="Times New Roman"/>
          <w:i/>
        </w:rPr>
        <w:t>ran-</w:t>
      </w:r>
      <w:proofErr w:type="spellStart"/>
      <w:r w:rsidRPr="00AD3CE3">
        <w:rPr>
          <w:rFonts w:ascii="Times New Roman" w:hAnsi="Times New Roman" w:cs="Times New Roman"/>
          <w:i/>
        </w:rPr>
        <w:t>NotificationAreaInfo</w:t>
      </w:r>
      <w:proofErr w:type="spellEnd"/>
      <w:r w:rsidRPr="00AD3CE3">
        <w:rPr>
          <w:rFonts w:ascii="Times New Roman" w:hAnsi="Times New Roman" w:cs="Times New Roman"/>
        </w:rPr>
        <w:t>, if stored;</w:t>
      </w:r>
    </w:p>
    <w:p w14:paraId="374A3839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1&gt;</w:t>
      </w:r>
      <w:r w:rsidRPr="00AD3CE3">
        <w:rPr>
          <w:rFonts w:ascii="Times New Roman" w:hAnsi="Times New Roman" w:cs="Times New Roman"/>
        </w:rPr>
        <w:tab/>
        <w:t xml:space="preserve">release the AS security context including the </w:t>
      </w:r>
      <w:proofErr w:type="spellStart"/>
      <w:r w:rsidRPr="00AD3CE3">
        <w:rPr>
          <w:rFonts w:ascii="Times New Roman" w:hAnsi="Times New Roman" w:cs="Times New Roman"/>
        </w:rPr>
        <w:t>K</w:t>
      </w:r>
      <w:r w:rsidRPr="00AD3CE3">
        <w:rPr>
          <w:rFonts w:ascii="Times New Roman" w:hAnsi="Times New Roman" w:cs="Times New Roman"/>
          <w:vertAlign w:val="subscript"/>
        </w:rPr>
        <w:t>RRCenc</w:t>
      </w:r>
      <w:proofErr w:type="spellEnd"/>
      <w:r w:rsidRPr="00AD3CE3">
        <w:rPr>
          <w:rFonts w:ascii="Times New Roman" w:hAnsi="Times New Roman" w:cs="Times New Roman"/>
        </w:rPr>
        <w:t xml:space="preserve"> key, the </w:t>
      </w:r>
      <w:proofErr w:type="spellStart"/>
      <w:r w:rsidRPr="00AD3CE3">
        <w:rPr>
          <w:rFonts w:ascii="Times New Roman" w:hAnsi="Times New Roman" w:cs="Times New Roman"/>
        </w:rPr>
        <w:t>K</w:t>
      </w:r>
      <w:r w:rsidRPr="00AD3CE3">
        <w:rPr>
          <w:rFonts w:ascii="Times New Roman" w:hAnsi="Times New Roman" w:cs="Times New Roman"/>
          <w:vertAlign w:val="subscript"/>
        </w:rPr>
        <w:t>RRCint</w:t>
      </w:r>
      <w:proofErr w:type="spellEnd"/>
      <w:r w:rsidRPr="00AD3CE3">
        <w:rPr>
          <w:rFonts w:ascii="Times New Roman" w:hAnsi="Times New Roman" w:cs="Times New Roman"/>
        </w:rPr>
        <w:t xml:space="preserve"> key, the </w:t>
      </w:r>
      <w:proofErr w:type="spellStart"/>
      <w:r w:rsidRPr="00AD3CE3">
        <w:rPr>
          <w:rFonts w:ascii="Times New Roman" w:hAnsi="Times New Roman" w:cs="Times New Roman"/>
        </w:rPr>
        <w:t>K</w:t>
      </w:r>
      <w:r w:rsidRPr="00AD3CE3">
        <w:rPr>
          <w:rFonts w:ascii="Times New Roman" w:hAnsi="Times New Roman" w:cs="Times New Roman"/>
          <w:vertAlign w:val="subscript"/>
        </w:rPr>
        <w:t>UPint</w:t>
      </w:r>
      <w:proofErr w:type="spellEnd"/>
      <w:r w:rsidRPr="00AD3CE3">
        <w:rPr>
          <w:rFonts w:ascii="Times New Roman" w:hAnsi="Times New Roman" w:cs="Times New Roman"/>
        </w:rPr>
        <w:t xml:space="preserve"> key and the </w:t>
      </w:r>
      <w:proofErr w:type="spellStart"/>
      <w:r w:rsidRPr="00AD3CE3">
        <w:rPr>
          <w:rFonts w:ascii="Times New Roman" w:hAnsi="Times New Roman" w:cs="Times New Roman"/>
        </w:rPr>
        <w:t>K</w:t>
      </w:r>
      <w:r w:rsidRPr="00AD3CE3">
        <w:rPr>
          <w:rFonts w:ascii="Times New Roman" w:hAnsi="Times New Roman" w:cs="Times New Roman"/>
          <w:vertAlign w:val="subscript"/>
        </w:rPr>
        <w:t>UPenc</w:t>
      </w:r>
      <w:proofErr w:type="spellEnd"/>
      <w:r w:rsidRPr="00AD3CE3">
        <w:rPr>
          <w:rFonts w:ascii="Times New Roman" w:hAnsi="Times New Roman" w:cs="Times New Roman"/>
        </w:rPr>
        <w:t xml:space="preserve"> key, if stored;</w:t>
      </w:r>
    </w:p>
    <w:p w14:paraId="355BB74D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1&gt;</w:t>
      </w:r>
      <w:r w:rsidRPr="00AD3CE3">
        <w:rPr>
          <w:rFonts w:ascii="Times New Roman" w:hAnsi="Times New Roman" w:cs="Times New Roman"/>
        </w:rPr>
        <w:tab/>
        <w:t>release all radio resources, including release of the RLC entity and the MAC configuration;</w:t>
      </w:r>
    </w:p>
    <w:p w14:paraId="1A93E196" w14:textId="689CB4FE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del w:id="4" w:author="Google (Frank Wu)" w:date="2019-10-04T01:01:00Z">
        <w:r w:rsidRPr="00AD3CE3" w:rsidDel="00AD3CE3">
          <w:rPr>
            <w:rFonts w:ascii="Times New Roman" w:hAnsi="Times New Roman" w:cs="Times New Roman"/>
          </w:rPr>
          <w:delText>1&gt;</w:delText>
        </w:r>
        <w:r w:rsidRPr="00AD3CE3" w:rsidDel="00AD3CE3">
          <w:rPr>
            <w:rFonts w:ascii="Times New Roman" w:hAnsi="Times New Roman" w:cs="Times New Roman"/>
          </w:rPr>
          <w:tab/>
          <w:delText>release the associated PDCP entity and SDAP entity for all established RBs;</w:delText>
        </w:r>
      </w:del>
    </w:p>
    <w:p w14:paraId="3641FE73" w14:textId="6C7157B8" w:rsidR="00AD3CE3" w:rsidRPr="00AD3CE3" w:rsidRDefault="00AD3CE3" w:rsidP="00AD3CE3">
      <w:pPr>
        <w:pStyle w:val="NO"/>
        <w:rPr>
          <w:rFonts w:ascii="Times New Roman" w:hAnsi="Times New Roman" w:cs="Times New Roman"/>
        </w:rPr>
      </w:pPr>
      <w:proofErr w:type="gramStart"/>
      <w:r w:rsidRPr="00AD3CE3">
        <w:rPr>
          <w:rFonts w:ascii="Times New Roman" w:hAnsi="Times New Roman" w:cs="Times New Roman"/>
        </w:rPr>
        <w:t>NOTE :</w:t>
      </w:r>
      <w:proofErr w:type="gramEnd"/>
      <w:r w:rsidRPr="00AD3CE3">
        <w:rPr>
          <w:rFonts w:ascii="Times New Roman" w:hAnsi="Times New Roman" w:cs="Times New Roman"/>
        </w:rPr>
        <w:tab/>
        <w:t xml:space="preserve">PDCP and SDAP </w:t>
      </w:r>
      <w:ins w:id="5" w:author="Google (Frank Wu)" w:date="2019-10-04T00:58:00Z">
        <w:r>
          <w:rPr>
            <w:rFonts w:ascii="Times New Roman" w:hAnsi="Times New Roman" w:cs="Times New Roman"/>
          </w:rPr>
          <w:t xml:space="preserve">configurations </w:t>
        </w:r>
      </w:ins>
      <w:r w:rsidRPr="00AD3CE3">
        <w:rPr>
          <w:rFonts w:ascii="Times New Roman" w:hAnsi="Times New Roman" w:cs="Times New Roman"/>
        </w:rPr>
        <w:t>configured by the source RAT prior to the handover that are reconfigured and re-used by target RAT when delta signalling (i.e., during inter-RAT intra-sy</w:t>
      </w:r>
      <w:ins w:id="6" w:author="Google (Frank Wu)" w:date="2019-10-04T00:59:00Z">
        <w:r>
          <w:rPr>
            <w:rFonts w:ascii="Times New Roman" w:hAnsi="Times New Roman" w:cs="Times New Roman"/>
          </w:rPr>
          <w:t>s</w:t>
        </w:r>
      </w:ins>
      <w:r w:rsidRPr="00AD3CE3">
        <w:rPr>
          <w:rFonts w:ascii="Times New Roman" w:hAnsi="Times New Roman" w:cs="Times New Roman"/>
        </w:rPr>
        <w:t xml:space="preserve">tem handover when </w:t>
      </w:r>
      <w:proofErr w:type="spellStart"/>
      <w:r w:rsidRPr="00AD3CE3">
        <w:rPr>
          <w:rFonts w:ascii="Times New Roman" w:hAnsi="Times New Roman" w:cs="Times New Roman"/>
          <w:i/>
        </w:rPr>
        <w:t>fullConfig</w:t>
      </w:r>
      <w:proofErr w:type="spellEnd"/>
      <w:r w:rsidRPr="00AD3CE3">
        <w:rPr>
          <w:rFonts w:ascii="Times New Roman" w:hAnsi="Times New Roman" w:cs="Times New Roman"/>
        </w:rPr>
        <w:t xml:space="preserve"> is not present) is used, are not released as part of this procedure.</w:t>
      </w:r>
    </w:p>
    <w:p w14:paraId="1CCB5C25" w14:textId="77777777" w:rsidR="00AD3CE3" w:rsidRPr="00AD3CE3" w:rsidRDefault="00AD3CE3" w:rsidP="00AD3CE3">
      <w:pPr>
        <w:pStyle w:val="B1"/>
        <w:rPr>
          <w:rFonts w:ascii="Times New Roman" w:hAnsi="Times New Roman" w:cs="Times New Roman"/>
        </w:rPr>
      </w:pPr>
      <w:r w:rsidRPr="00AD3CE3">
        <w:rPr>
          <w:rFonts w:ascii="Times New Roman" w:eastAsia="DengXian" w:hAnsi="Times New Roman" w:cs="Times New Roman"/>
        </w:rPr>
        <w:t>1&gt;</w:t>
      </w:r>
      <w:r w:rsidRPr="00AD3CE3">
        <w:rPr>
          <w:rFonts w:ascii="Times New Roman" w:eastAsia="DengXian" w:hAnsi="Times New Roman" w:cs="Times New Roman"/>
        </w:rPr>
        <w:tab/>
        <w:t xml:space="preserve">if the </w:t>
      </w:r>
      <w:proofErr w:type="spellStart"/>
      <w:r w:rsidRPr="00AD3CE3">
        <w:rPr>
          <w:rFonts w:ascii="Times New Roman" w:eastAsia="DengXian" w:hAnsi="Times New Roman" w:cs="Times New Roman"/>
          <w:i/>
        </w:rPr>
        <w:t>targetRAT</w:t>
      </w:r>
      <w:proofErr w:type="spellEnd"/>
      <w:r w:rsidRPr="00AD3CE3">
        <w:rPr>
          <w:rFonts w:ascii="Times New Roman" w:eastAsia="DengXian" w:hAnsi="Times New Roman" w:cs="Times New Roman"/>
          <w:i/>
        </w:rPr>
        <w:t>-Type</w:t>
      </w:r>
      <w:r w:rsidRPr="00AD3CE3">
        <w:rPr>
          <w:rFonts w:ascii="Times New Roman" w:eastAsia="DengXian" w:hAnsi="Times New Roman" w:cs="Times New Roman"/>
        </w:rPr>
        <w:t xml:space="preserve"> is set to </w:t>
      </w:r>
      <w:proofErr w:type="spellStart"/>
      <w:r w:rsidRPr="00AD3CE3">
        <w:rPr>
          <w:rFonts w:ascii="Times New Roman" w:eastAsia="DengXian" w:hAnsi="Times New Roman" w:cs="Times New Roman"/>
          <w:i/>
        </w:rPr>
        <w:t>eutra</w:t>
      </w:r>
      <w:proofErr w:type="spellEnd"/>
      <w:r w:rsidRPr="00AD3CE3">
        <w:rPr>
          <w:rFonts w:ascii="Times New Roman" w:eastAsia="DengXian" w:hAnsi="Times New Roman" w:cs="Times New Roman"/>
        </w:rPr>
        <w:t xml:space="preserve"> and the </w:t>
      </w:r>
      <w:proofErr w:type="spellStart"/>
      <w:r w:rsidRPr="00AD3CE3">
        <w:rPr>
          <w:rFonts w:ascii="Times New Roman" w:eastAsia="DengXian" w:hAnsi="Times New Roman" w:cs="Times New Roman"/>
          <w:i/>
        </w:rPr>
        <w:t>nas-SecurityParamFromNR</w:t>
      </w:r>
      <w:proofErr w:type="spellEnd"/>
      <w:r w:rsidRPr="00AD3CE3">
        <w:rPr>
          <w:rFonts w:ascii="Times New Roman" w:hAnsi="Times New Roman" w:cs="Times New Roman"/>
        </w:rPr>
        <w:t xml:space="preserve"> is included</w:t>
      </w:r>
      <w:r w:rsidRPr="00AD3CE3">
        <w:rPr>
          <w:rFonts w:ascii="Times New Roman" w:eastAsia="DengXian" w:hAnsi="Times New Roman" w:cs="Times New Roman"/>
        </w:rPr>
        <w:t>:</w:t>
      </w:r>
    </w:p>
    <w:p w14:paraId="7A0E52FC" w14:textId="5F0D27D8" w:rsidR="00AD3CE3" w:rsidRDefault="00AD3CE3" w:rsidP="00AD3CE3">
      <w:pPr>
        <w:pStyle w:val="B2"/>
        <w:rPr>
          <w:ins w:id="7" w:author="Google (Frank Wu)" w:date="2019-10-04T01:01:00Z"/>
          <w:rFonts w:ascii="Times New Roman" w:hAnsi="Times New Roman" w:cs="Times New Roman"/>
        </w:rPr>
      </w:pPr>
      <w:ins w:id="8" w:author="Google (Frank Wu)" w:date="2019-10-04T01:01:00Z">
        <w:r>
          <w:rPr>
            <w:rFonts w:ascii="Times New Roman" w:hAnsi="Times New Roman" w:cs="Times New Roman"/>
          </w:rPr>
          <w:t>2</w:t>
        </w:r>
        <w:r w:rsidRPr="00AD3CE3">
          <w:rPr>
            <w:rFonts w:ascii="Times New Roman" w:hAnsi="Times New Roman" w:cs="Times New Roman"/>
          </w:rPr>
          <w:t>&gt;</w:t>
        </w:r>
        <w:r w:rsidRPr="00AD3CE3">
          <w:rPr>
            <w:rFonts w:ascii="Times New Roman" w:hAnsi="Times New Roman" w:cs="Times New Roman"/>
          </w:rPr>
          <w:tab/>
          <w:t>release the associated PDCP entity and SDAP entity for all established RBs;</w:t>
        </w:r>
      </w:ins>
    </w:p>
    <w:p w14:paraId="409AAD2A" w14:textId="5C7E72FE" w:rsidR="00AD3CE3" w:rsidRPr="00AD3CE3" w:rsidRDefault="00AD3CE3" w:rsidP="00AD3CE3">
      <w:pPr>
        <w:pStyle w:val="B2"/>
        <w:rPr>
          <w:rFonts w:ascii="Times New Roman" w:hAnsi="Times New Roman" w:cs="Times New Roman"/>
        </w:rPr>
      </w:pPr>
      <w:r w:rsidRPr="00AD3CE3">
        <w:rPr>
          <w:rFonts w:ascii="Times New Roman" w:hAnsi="Times New Roman" w:cs="Times New Roman"/>
        </w:rPr>
        <w:t>2&gt;</w:t>
      </w:r>
      <w:r w:rsidRPr="00AD3CE3">
        <w:rPr>
          <w:rFonts w:ascii="Times New Roman" w:hAnsi="Times New Roman" w:cs="Times New Roman"/>
        </w:rPr>
        <w:tab/>
        <w:t>indicate the release of the RRC connection to upper layers together with the release cause 'other'.</w:t>
      </w:r>
    </w:p>
    <w:p w14:paraId="56705D28" w14:textId="77777777" w:rsidR="00FD069A" w:rsidRPr="00AD3CE3" w:rsidRDefault="00FD069A">
      <w:pPr>
        <w:rPr>
          <w:noProof/>
        </w:rPr>
      </w:pPr>
    </w:p>
    <w:sectPr w:rsidR="00FD069A" w:rsidRPr="00AD3CE3" w:rsidSect="00AD3CE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32E99" w14:textId="77777777" w:rsidR="00990476" w:rsidRDefault="00990476">
      <w:r>
        <w:separator/>
      </w:r>
    </w:p>
  </w:endnote>
  <w:endnote w:type="continuationSeparator" w:id="0">
    <w:p w14:paraId="58378B20" w14:textId="77777777" w:rsidR="00990476" w:rsidRDefault="00990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8DE9A" w14:textId="77777777" w:rsidR="00990476" w:rsidRDefault="00990476">
      <w:r>
        <w:separator/>
      </w:r>
    </w:p>
  </w:footnote>
  <w:footnote w:type="continuationSeparator" w:id="0">
    <w:p w14:paraId="302F26F4" w14:textId="77777777" w:rsidR="00990476" w:rsidRDefault="00990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CDA"/>
    <w:rsid w:val="00073E68"/>
    <w:rsid w:val="00077A0D"/>
    <w:rsid w:val="00097D34"/>
    <w:rsid w:val="000A6394"/>
    <w:rsid w:val="000B7FED"/>
    <w:rsid w:val="000C038A"/>
    <w:rsid w:val="000C6598"/>
    <w:rsid w:val="000D4148"/>
    <w:rsid w:val="000F2A72"/>
    <w:rsid w:val="00106358"/>
    <w:rsid w:val="001151C3"/>
    <w:rsid w:val="00125978"/>
    <w:rsid w:val="00145D43"/>
    <w:rsid w:val="001568CF"/>
    <w:rsid w:val="00174C28"/>
    <w:rsid w:val="0018683F"/>
    <w:rsid w:val="00192C46"/>
    <w:rsid w:val="001943BF"/>
    <w:rsid w:val="001A08B3"/>
    <w:rsid w:val="001A7B60"/>
    <w:rsid w:val="001B52F0"/>
    <w:rsid w:val="001B7A65"/>
    <w:rsid w:val="001C1ADB"/>
    <w:rsid w:val="001C2EC3"/>
    <w:rsid w:val="001D25F2"/>
    <w:rsid w:val="001E41F3"/>
    <w:rsid w:val="001E5EBA"/>
    <w:rsid w:val="001F6A32"/>
    <w:rsid w:val="00233F99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A387A"/>
    <w:rsid w:val="002B14B4"/>
    <w:rsid w:val="002B5741"/>
    <w:rsid w:val="002C2B3A"/>
    <w:rsid w:val="00305409"/>
    <w:rsid w:val="00307FAF"/>
    <w:rsid w:val="00312D6C"/>
    <w:rsid w:val="00314C98"/>
    <w:rsid w:val="00351DDB"/>
    <w:rsid w:val="003609EF"/>
    <w:rsid w:val="0036231A"/>
    <w:rsid w:val="00363727"/>
    <w:rsid w:val="00374DD4"/>
    <w:rsid w:val="00376A6F"/>
    <w:rsid w:val="00381CF4"/>
    <w:rsid w:val="003A67A0"/>
    <w:rsid w:val="003B3C17"/>
    <w:rsid w:val="003D753C"/>
    <w:rsid w:val="003E1A36"/>
    <w:rsid w:val="003E4E9A"/>
    <w:rsid w:val="003F092F"/>
    <w:rsid w:val="00402213"/>
    <w:rsid w:val="00410371"/>
    <w:rsid w:val="004242F1"/>
    <w:rsid w:val="00435D62"/>
    <w:rsid w:val="004B75B7"/>
    <w:rsid w:val="004B78E4"/>
    <w:rsid w:val="004D6368"/>
    <w:rsid w:val="004E53DF"/>
    <w:rsid w:val="004E64EF"/>
    <w:rsid w:val="004F10D9"/>
    <w:rsid w:val="00501074"/>
    <w:rsid w:val="00512508"/>
    <w:rsid w:val="005134A4"/>
    <w:rsid w:val="0051580D"/>
    <w:rsid w:val="00547111"/>
    <w:rsid w:val="00552827"/>
    <w:rsid w:val="00565455"/>
    <w:rsid w:val="00577CF0"/>
    <w:rsid w:val="00580BE4"/>
    <w:rsid w:val="005812F3"/>
    <w:rsid w:val="005820F1"/>
    <w:rsid w:val="00592D74"/>
    <w:rsid w:val="005C4C21"/>
    <w:rsid w:val="005D2768"/>
    <w:rsid w:val="005E1EE7"/>
    <w:rsid w:val="005E2C44"/>
    <w:rsid w:val="005F6181"/>
    <w:rsid w:val="00613F00"/>
    <w:rsid w:val="00621188"/>
    <w:rsid w:val="006257ED"/>
    <w:rsid w:val="00634F03"/>
    <w:rsid w:val="00636B5A"/>
    <w:rsid w:val="006417FF"/>
    <w:rsid w:val="00645E3C"/>
    <w:rsid w:val="00695808"/>
    <w:rsid w:val="006B46FB"/>
    <w:rsid w:val="006B7B98"/>
    <w:rsid w:val="006C50CD"/>
    <w:rsid w:val="006C5934"/>
    <w:rsid w:val="006C7200"/>
    <w:rsid w:val="006E21FB"/>
    <w:rsid w:val="006E677D"/>
    <w:rsid w:val="0070643E"/>
    <w:rsid w:val="00707C37"/>
    <w:rsid w:val="00715098"/>
    <w:rsid w:val="00752D9A"/>
    <w:rsid w:val="007911C2"/>
    <w:rsid w:val="00792342"/>
    <w:rsid w:val="00792FA5"/>
    <w:rsid w:val="007977A8"/>
    <w:rsid w:val="007B512A"/>
    <w:rsid w:val="007C2097"/>
    <w:rsid w:val="007C3974"/>
    <w:rsid w:val="007C4D24"/>
    <w:rsid w:val="007D53FB"/>
    <w:rsid w:val="007D6A07"/>
    <w:rsid w:val="007F7259"/>
    <w:rsid w:val="008040A8"/>
    <w:rsid w:val="008116D0"/>
    <w:rsid w:val="008144E1"/>
    <w:rsid w:val="008152A0"/>
    <w:rsid w:val="00822268"/>
    <w:rsid w:val="00823771"/>
    <w:rsid w:val="008257A3"/>
    <w:rsid w:val="008279FA"/>
    <w:rsid w:val="008321D0"/>
    <w:rsid w:val="00843B13"/>
    <w:rsid w:val="008626E7"/>
    <w:rsid w:val="00870EE7"/>
    <w:rsid w:val="008810F5"/>
    <w:rsid w:val="008831F9"/>
    <w:rsid w:val="008863B9"/>
    <w:rsid w:val="00895ABC"/>
    <w:rsid w:val="008A45A6"/>
    <w:rsid w:val="008A65A5"/>
    <w:rsid w:val="008B25BD"/>
    <w:rsid w:val="008C318C"/>
    <w:rsid w:val="008F686C"/>
    <w:rsid w:val="00902683"/>
    <w:rsid w:val="009148DE"/>
    <w:rsid w:val="009317EA"/>
    <w:rsid w:val="00941E30"/>
    <w:rsid w:val="009777D9"/>
    <w:rsid w:val="00990476"/>
    <w:rsid w:val="00991B88"/>
    <w:rsid w:val="009A5753"/>
    <w:rsid w:val="009A579D"/>
    <w:rsid w:val="009C2674"/>
    <w:rsid w:val="009D0EFA"/>
    <w:rsid w:val="009E3297"/>
    <w:rsid w:val="009F05F8"/>
    <w:rsid w:val="009F6AB6"/>
    <w:rsid w:val="009F734F"/>
    <w:rsid w:val="00A246B6"/>
    <w:rsid w:val="00A30437"/>
    <w:rsid w:val="00A47E70"/>
    <w:rsid w:val="00A50CF0"/>
    <w:rsid w:val="00A62C34"/>
    <w:rsid w:val="00A74B84"/>
    <w:rsid w:val="00A7671C"/>
    <w:rsid w:val="00A8140D"/>
    <w:rsid w:val="00AA2CBC"/>
    <w:rsid w:val="00AA2D46"/>
    <w:rsid w:val="00AB1A0A"/>
    <w:rsid w:val="00AB693C"/>
    <w:rsid w:val="00AC5820"/>
    <w:rsid w:val="00AD1CD8"/>
    <w:rsid w:val="00AD3CE3"/>
    <w:rsid w:val="00AF56FE"/>
    <w:rsid w:val="00B00462"/>
    <w:rsid w:val="00B11330"/>
    <w:rsid w:val="00B258BB"/>
    <w:rsid w:val="00B60231"/>
    <w:rsid w:val="00B62394"/>
    <w:rsid w:val="00B669FC"/>
    <w:rsid w:val="00B67B97"/>
    <w:rsid w:val="00B711A2"/>
    <w:rsid w:val="00B84E07"/>
    <w:rsid w:val="00B92C3F"/>
    <w:rsid w:val="00B968C8"/>
    <w:rsid w:val="00BA3EC5"/>
    <w:rsid w:val="00BA51D9"/>
    <w:rsid w:val="00BB1E0B"/>
    <w:rsid w:val="00BB5DFC"/>
    <w:rsid w:val="00BD279D"/>
    <w:rsid w:val="00BD4C85"/>
    <w:rsid w:val="00BD6BB8"/>
    <w:rsid w:val="00BE1F80"/>
    <w:rsid w:val="00BF7187"/>
    <w:rsid w:val="00C11DAF"/>
    <w:rsid w:val="00C16810"/>
    <w:rsid w:val="00C34DEB"/>
    <w:rsid w:val="00C35E8D"/>
    <w:rsid w:val="00C363E8"/>
    <w:rsid w:val="00C46EF6"/>
    <w:rsid w:val="00C60BB4"/>
    <w:rsid w:val="00C66BA2"/>
    <w:rsid w:val="00C70B7C"/>
    <w:rsid w:val="00C95985"/>
    <w:rsid w:val="00CA538F"/>
    <w:rsid w:val="00CB631A"/>
    <w:rsid w:val="00CC5026"/>
    <w:rsid w:val="00CC5362"/>
    <w:rsid w:val="00CC68D0"/>
    <w:rsid w:val="00CE65CA"/>
    <w:rsid w:val="00D03F9A"/>
    <w:rsid w:val="00D0507D"/>
    <w:rsid w:val="00D06D51"/>
    <w:rsid w:val="00D24991"/>
    <w:rsid w:val="00D24FF4"/>
    <w:rsid w:val="00D2584D"/>
    <w:rsid w:val="00D30B85"/>
    <w:rsid w:val="00D329D7"/>
    <w:rsid w:val="00D50255"/>
    <w:rsid w:val="00D52509"/>
    <w:rsid w:val="00D66520"/>
    <w:rsid w:val="00DB56A0"/>
    <w:rsid w:val="00DB58F4"/>
    <w:rsid w:val="00DC473D"/>
    <w:rsid w:val="00DD4443"/>
    <w:rsid w:val="00DE34CF"/>
    <w:rsid w:val="00E13F3D"/>
    <w:rsid w:val="00E34898"/>
    <w:rsid w:val="00E606F0"/>
    <w:rsid w:val="00EB09B7"/>
    <w:rsid w:val="00EB1A34"/>
    <w:rsid w:val="00EB7718"/>
    <w:rsid w:val="00EC2B11"/>
    <w:rsid w:val="00EE3F20"/>
    <w:rsid w:val="00EE7D7C"/>
    <w:rsid w:val="00F0290C"/>
    <w:rsid w:val="00F100AF"/>
    <w:rsid w:val="00F14E08"/>
    <w:rsid w:val="00F25D98"/>
    <w:rsid w:val="00F300FB"/>
    <w:rsid w:val="00F50274"/>
    <w:rsid w:val="00F6352A"/>
    <w:rsid w:val="00F93831"/>
    <w:rsid w:val="00F93B47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565455"/>
    <w:rPr>
      <w:rFonts w:ascii="Courier New" w:hAnsi="Courier New" w:cs="Courier New"/>
      <w:noProof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98</cp:revision>
  <dcterms:created xsi:type="dcterms:W3CDTF">2018-11-05T09:14:00Z</dcterms:created>
  <dcterms:modified xsi:type="dcterms:W3CDTF">2019-10-04T04:53:00Z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